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Confessions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Confessions and Statements  |  Resource ID LAW-03-03-062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Show the amount through a dated working and source records. Keep principal, tax, interest, costs and disputed items separate.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Confessions and Statements a matter involving financial impact or loss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